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71" w:rsidRPr="00D90668" w:rsidRDefault="00B51F71" w:rsidP="00B51F71">
      <w:pPr>
        <w:ind w:left="-270" w:right="-90" w:firstLine="90"/>
        <w:jc w:val="center"/>
        <w:rPr>
          <w:rFonts w:ascii="Arial" w:hAnsi="Arial" w:cs="Arial"/>
          <w:b/>
          <w:u w:val="single"/>
        </w:rPr>
      </w:pPr>
      <w:r w:rsidRPr="00D90668">
        <w:rPr>
          <w:rFonts w:ascii="Arial" w:hAnsi="Arial" w:cs="Arial"/>
          <w:b/>
          <w:sz w:val="28"/>
          <w:szCs w:val="28"/>
          <w:u w:val="single"/>
        </w:rPr>
        <w:t xml:space="preserve">Frequently Asked Questions for </w:t>
      </w:r>
      <w:r w:rsidR="001033A1" w:rsidRPr="00D90668">
        <w:rPr>
          <w:rFonts w:ascii="Arial" w:hAnsi="Arial" w:cs="Arial"/>
          <w:b/>
          <w:sz w:val="28"/>
          <w:szCs w:val="28"/>
          <w:u w:val="single"/>
        </w:rPr>
        <w:t>Litter Abatement Program</w:t>
      </w:r>
      <w:r w:rsidRPr="00D90668">
        <w:rPr>
          <w:rFonts w:ascii="Arial" w:hAnsi="Arial" w:cs="Arial"/>
          <w:b/>
          <w:sz w:val="28"/>
          <w:szCs w:val="28"/>
          <w:u w:val="single"/>
        </w:rPr>
        <w:t xml:space="preserve"> Grants</w:t>
      </w:r>
    </w:p>
    <w:p w:rsidR="00B51F71" w:rsidRDefault="00B51F71" w:rsidP="00B51F71">
      <w:pPr>
        <w:rPr>
          <w:b/>
          <w:sz w:val="21"/>
          <w:szCs w:val="21"/>
        </w:rPr>
      </w:pPr>
    </w:p>
    <w:p w:rsidR="00B51F71" w:rsidRPr="00D90668" w:rsidRDefault="00B51F71" w:rsidP="00B51F71">
      <w:pPr>
        <w:rPr>
          <w:rFonts w:ascii="Arial" w:hAnsi="Arial" w:cs="Arial"/>
          <w:b/>
          <w:sz w:val="21"/>
          <w:szCs w:val="21"/>
        </w:rPr>
      </w:pPr>
      <w:r w:rsidRPr="00D90668">
        <w:rPr>
          <w:rFonts w:ascii="Arial" w:hAnsi="Arial" w:cs="Arial"/>
          <w:b/>
          <w:sz w:val="21"/>
          <w:szCs w:val="21"/>
        </w:rPr>
        <w:t xml:space="preserve">What are eligible expenses for </w:t>
      </w:r>
      <w:r w:rsidR="001033A1" w:rsidRPr="00D90668">
        <w:rPr>
          <w:rFonts w:ascii="Arial" w:hAnsi="Arial" w:cs="Arial"/>
          <w:b/>
          <w:sz w:val="21"/>
          <w:szCs w:val="21"/>
        </w:rPr>
        <w:t>Litter Abatement</w:t>
      </w:r>
      <w:r w:rsidRPr="00D90668">
        <w:rPr>
          <w:rFonts w:ascii="Arial" w:hAnsi="Arial" w:cs="Arial"/>
          <w:b/>
          <w:sz w:val="21"/>
          <w:szCs w:val="21"/>
        </w:rPr>
        <w:t xml:space="preserve"> program grants?</w:t>
      </w:r>
    </w:p>
    <w:p w:rsidR="00B51F71" w:rsidRDefault="00B51F71" w:rsidP="00B51F71">
      <w:pPr>
        <w:rPr>
          <w:b/>
          <w:sz w:val="21"/>
          <w:szCs w:val="21"/>
        </w:rPr>
      </w:pPr>
    </w:p>
    <w:p w:rsidR="00B51F71" w:rsidRDefault="001033A1" w:rsidP="00B51F71">
      <w:pPr>
        <w:pStyle w:val="ListParagraph"/>
        <w:numPr>
          <w:ilvl w:val="0"/>
          <w:numId w:val="1"/>
        </w:numPr>
        <w:spacing w:after="200" w:line="276" w:lineRule="auto"/>
        <w:rPr>
          <w:sz w:val="21"/>
          <w:szCs w:val="21"/>
        </w:rPr>
      </w:pPr>
      <w:r>
        <w:rPr>
          <w:sz w:val="21"/>
          <w:szCs w:val="21"/>
        </w:rPr>
        <w:t xml:space="preserve">Litter Abatement </w:t>
      </w:r>
      <w:r w:rsidR="00B51F71">
        <w:rPr>
          <w:sz w:val="21"/>
          <w:szCs w:val="21"/>
        </w:rPr>
        <w:t xml:space="preserve">program grant recipients shall use grant funding for </w:t>
      </w:r>
      <w:r w:rsidR="00B51F71">
        <w:rPr>
          <w:b/>
          <w:sz w:val="21"/>
          <w:szCs w:val="21"/>
        </w:rPr>
        <w:t>“direct expenses”</w:t>
      </w:r>
      <w:r w:rsidR="00B51F71">
        <w:rPr>
          <w:sz w:val="21"/>
          <w:szCs w:val="21"/>
        </w:rPr>
        <w:t xml:space="preserve"> associated with public road cleanup and city street cleanup requirements referred to in KRS 224.43-505(d)(5).  See 401 KAR 49:080, Section 4(2</w:t>
      </w:r>
      <w:proofErr w:type="gramStart"/>
      <w:r w:rsidR="00B51F71">
        <w:rPr>
          <w:sz w:val="21"/>
          <w:szCs w:val="21"/>
        </w:rPr>
        <w:t>)(</w:t>
      </w:r>
      <w:proofErr w:type="gramEnd"/>
      <w:r w:rsidR="00B51F71">
        <w:rPr>
          <w:sz w:val="21"/>
          <w:szCs w:val="21"/>
        </w:rPr>
        <w:t>a).</w:t>
      </w:r>
    </w:p>
    <w:p w:rsidR="00B51F71" w:rsidRDefault="00B51F71" w:rsidP="00B51F71">
      <w:pPr>
        <w:pStyle w:val="ListParagraph"/>
        <w:numPr>
          <w:ilvl w:val="0"/>
          <w:numId w:val="1"/>
        </w:numPr>
        <w:spacing w:after="200" w:line="276" w:lineRule="auto"/>
        <w:rPr>
          <w:rFonts w:cs="Calibri"/>
          <w:sz w:val="21"/>
          <w:szCs w:val="21"/>
        </w:rPr>
      </w:pPr>
      <w:r>
        <w:rPr>
          <w:b/>
          <w:sz w:val="21"/>
          <w:szCs w:val="21"/>
        </w:rPr>
        <w:t>“Direct expenses”</w:t>
      </w:r>
      <w:r>
        <w:rPr>
          <w:sz w:val="21"/>
          <w:szCs w:val="21"/>
        </w:rPr>
        <w:t xml:space="preserve"> include staff time, supplies, contract costs, expenditures related to the operation of equipment, actual disposal costs incurred, and activities, including education, focusing on litter prevention and litter cleanup along public roadways.  Direct expenses do not include the purchase of a motor vehicle or lease of a motor vehicle when the lease includes a </w:t>
      </w:r>
      <w:r>
        <w:rPr>
          <w:rFonts w:cs="Calibri"/>
          <w:sz w:val="21"/>
          <w:szCs w:val="21"/>
        </w:rPr>
        <w:t>purchase option.  See 401 KAR 49:080, Section 1(2</w:t>
      </w:r>
      <w:proofErr w:type="gramStart"/>
      <w:r>
        <w:rPr>
          <w:rFonts w:cs="Calibri"/>
          <w:sz w:val="21"/>
          <w:szCs w:val="21"/>
        </w:rPr>
        <w:t>)(</w:t>
      </w:r>
      <w:proofErr w:type="gramEnd"/>
      <w:r>
        <w:rPr>
          <w:rFonts w:cs="Calibri"/>
          <w:sz w:val="21"/>
          <w:szCs w:val="21"/>
        </w:rPr>
        <w:t xml:space="preserve">a).    </w:t>
      </w:r>
    </w:p>
    <w:p w:rsidR="00B51F71" w:rsidRPr="00D90668" w:rsidRDefault="00B51F71" w:rsidP="00B51F71">
      <w:pPr>
        <w:pStyle w:val="Default"/>
        <w:rPr>
          <w:rFonts w:ascii="Arial" w:hAnsi="Arial" w:cs="Arial"/>
          <w:b/>
          <w:sz w:val="21"/>
          <w:szCs w:val="21"/>
        </w:rPr>
      </w:pPr>
      <w:r w:rsidRPr="00D90668">
        <w:rPr>
          <w:rFonts w:ascii="Arial" w:hAnsi="Arial" w:cs="Arial"/>
          <w:b/>
          <w:sz w:val="21"/>
          <w:szCs w:val="21"/>
        </w:rPr>
        <w:t>Does “public road” mean only a county road, or does it also include state roads?</w:t>
      </w:r>
    </w:p>
    <w:p w:rsidR="00B51F71" w:rsidRDefault="00B51F71" w:rsidP="00B51F71">
      <w:pPr>
        <w:pStyle w:val="Default"/>
        <w:rPr>
          <w:sz w:val="21"/>
          <w:szCs w:val="21"/>
        </w:rPr>
      </w:pPr>
      <w:r>
        <w:rPr>
          <w:sz w:val="21"/>
          <w:szCs w:val="21"/>
        </w:rPr>
        <w:t xml:space="preserve"> </w:t>
      </w:r>
    </w:p>
    <w:p w:rsidR="00B51F71" w:rsidRDefault="00B51F71" w:rsidP="00B51F71">
      <w:pPr>
        <w:pStyle w:val="ListParagraph"/>
        <w:numPr>
          <w:ilvl w:val="0"/>
          <w:numId w:val="2"/>
        </w:numPr>
        <w:spacing w:after="200" w:line="276" w:lineRule="auto"/>
        <w:rPr>
          <w:rFonts w:cs="Calibri"/>
          <w:sz w:val="21"/>
          <w:szCs w:val="21"/>
        </w:rPr>
      </w:pPr>
      <w:r>
        <w:rPr>
          <w:rFonts w:cs="Calibri"/>
          <w:sz w:val="21"/>
          <w:szCs w:val="21"/>
        </w:rPr>
        <w:t>"Public road" means any city, county, state, federal, or limited access street, highway, or turnpike, including bridges and bridge approaches.  See KRS 224.43-500(1</w:t>
      </w:r>
      <w:proofErr w:type="gramStart"/>
      <w:r>
        <w:rPr>
          <w:rFonts w:cs="Calibri"/>
          <w:sz w:val="21"/>
          <w:szCs w:val="21"/>
        </w:rPr>
        <w:t>)(</w:t>
      </w:r>
      <w:proofErr w:type="gramEnd"/>
      <w:r>
        <w:rPr>
          <w:rFonts w:cs="Calibri"/>
          <w:sz w:val="21"/>
          <w:szCs w:val="21"/>
        </w:rPr>
        <w:t xml:space="preserve">c).  </w:t>
      </w:r>
    </w:p>
    <w:p w:rsidR="00B51F71" w:rsidRPr="00D90668" w:rsidRDefault="00B51F71" w:rsidP="00B51F71">
      <w:pPr>
        <w:rPr>
          <w:rFonts w:ascii="Arial" w:hAnsi="Arial" w:cs="Arial"/>
          <w:b/>
          <w:sz w:val="21"/>
          <w:szCs w:val="21"/>
        </w:rPr>
      </w:pPr>
      <w:r w:rsidRPr="00D90668">
        <w:rPr>
          <w:rFonts w:ascii="Arial" w:hAnsi="Arial" w:cs="Arial"/>
          <w:b/>
          <w:sz w:val="21"/>
          <w:szCs w:val="21"/>
        </w:rPr>
        <w:t xml:space="preserve">What forms must the grant recipient submit to the cabinet after performing </w:t>
      </w:r>
      <w:r w:rsidR="001033A1" w:rsidRPr="00D90668">
        <w:rPr>
          <w:rFonts w:ascii="Arial" w:hAnsi="Arial" w:cs="Arial"/>
          <w:b/>
          <w:sz w:val="21"/>
          <w:szCs w:val="21"/>
        </w:rPr>
        <w:t>litter abatement</w:t>
      </w:r>
      <w:r w:rsidRPr="00D90668">
        <w:rPr>
          <w:rFonts w:ascii="Arial" w:hAnsi="Arial" w:cs="Arial"/>
          <w:b/>
          <w:sz w:val="21"/>
          <w:szCs w:val="21"/>
        </w:rPr>
        <w:t xml:space="preserve"> program activities with grant funds? </w:t>
      </w:r>
    </w:p>
    <w:p w:rsidR="00B51F71" w:rsidRDefault="00B51F71" w:rsidP="00B51F71">
      <w:pPr>
        <w:rPr>
          <w:rFonts w:cs="Calibri"/>
          <w:b/>
          <w:sz w:val="21"/>
          <w:szCs w:val="21"/>
        </w:rPr>
      </w:pPr>
    </w:p>
    <w:p w:rsidR="001033A1" w:rsidRDefault="001033A1" w:rsidP="001033A1">
      <w:pPr>
        <w:pStyle w:val="ListParagraph"/>
        <w:numPr>
          <w:ilvl w:val="0"/>
          <w:numId w:val="3"/>
        </w:numPr>
        <w:spacing w:after="200" w:line="276" w:lineRule="auto"/>
        <w:rPr>
          <w:rFonts w:cs="Calibri"/>
          <w:sz w:val="21"/>
          <w:szCs w:val="21"/>
        </w:rPr>
      </w:pPr>
      <w:r w:rsidRPr="001033A1">
        <w:rPr>
          <w:rFonts w:cs="Calibri"/>
          <w:b/>
          <w:sz w:val="21"/>
          <w:szCs w:val="21"/>
        </w:rPr>
        <w:t>CITIES</w:t>
      </w:r>
      <w:r>
        <w:rPr>
          <w:rFonts w:cs="Calibri"/>
          <w:sz w:val="21"/>
          <w:szCs w:val="21"/>
        </w:rPr>
        <w:t xml:space="preserve"> – City Litter Abatement Program Annual Report and Certification for Grant Funding</w:t>
      </w:r>
      <w:r w:rsidR="002F13DB">
        <w:rPr>
          <w:rFonts w:cs="Calibri"/>
          <w:sz w:val="21"/>
          <w:szCs w:val="21"/>
        </w:rPr>
        <w:t xml:space="preserve"> (Form DWM 4900)</w:t>
      </w:r>
      <w:r w:rsidR="00B51F71">
        <w:rPr>
          <w:rFonts w:cs="Calibri"/>
          <w:sz w:val="21"/>
          <w:szCs w:val="21"/>
        </w:rPr>
        <w:t xml:space="preserve">.  The form will be available on our website </w:t>
      </w:r>
      <w:r w:rsidR="00D90668" w:rsidRPr="00D90668">
        <w:rPr>
          <w:rFonts w:cs="Calibri"/>
          <w:b/>
          <w:color w:val="FF0000"/>
          <w:sz w:val="21"/>
          <w:szCs w:val="21"/>
          <w:u w:val="single"/>
        </w:rPr>
        <w:t>https://eec.ky.gov/Environmental-Protection/Waste/recycling-and-local-assistance</w:t>
      </w:r>
      <w:bookmarkStart w:id="0" w:name="_GoBack"/>
      <w:bookmarkEnd w:id="0"/>
      <w:r w:rsidR="00B51F71" w:rsidRPr="00D90668">
        <w:rPr>
          <w:rFonts w:cs="Calibri"/>
          <w:color w:val="FF0000"/>
          <w:sz w:val="21"/>
          <w:szCs w:val="21"/>
        </w:rPr>
        <w:t xml:space="preserve"> </w:t>
      </w:r>
      <w:r w:rsidR="00B51F71">
        <w:rPr>
          <w:rFonts w:cs="Calibri"/>
          <w:sz w:val="21"/>
          <w:szCs w:val="21"/>
        </w:rPr>
        <w:t xml:space="preserve">and will also be sent through email from the Kentucky League of Cities in </w:t>
      </w:r>
      <w:r>
        <w:rPr>
          <w:rFonts w:cs="Calibri"/>
          <w:sz w:val="21"/>
          <w:szCs w:val="21"/>
        </w:rPr>
        <w:t>December</w:t>
      </w:r>
      <w:r w:rsidR="00B51F71">
        <w:rPr>
          <w:rFonts w:cs="Calibri"/>
          <w:sz w:val="21"/>
          <w:szCs w:val="21"/>
        </w:rPr>
        <w:t>.  Incorporated cities must submit this form to the cabinet by February 1.  See 401 KAR 49:080, Section 4(6</w:t>
      </w:r>
      <w:proofErr w:type="gramStart"/>
      <w:r w:rsidR="00B51F71">
        <w:rPr>
          <w:rFonts w:cs="Calibri"/>
          <w:sz w:val="21"/>
          <w:szCs w:val="21"/>
        </w:rPr>
        <w:t>)(</w:t>
      </w:r>
      <w:proofErr w:type="gramEnd"/>
      <w:r w:rsidR="00B51F71">
        <w:rPr>
          <w:rFonts w:cs="Calibri"/>
          <w:sz w:val="21"/>
          <w:szCs w:val="21"/>
        </w:rPr>
        <w:t xml:space="preserve">b)3.  </w:t>
      </w:r>
      <w:r>
        <w:rPr>
          <w:rFonts w:cs="Calibri"/>
          <w:sz w:val="21"/>
          <w:szCs w:val="21"/>
        </w:rPr>
        <w:t xml:space="preserve">This form must be signed by the </w:t>
      </w:r>
      <w:r>
        <w:rPr>
          <w:rFonts w:cs="Calibri"/>
          <w:b/>
          <w:sz w:val="21"/>
          <w:szCs w:val="21"/>
        </w:rPr>
        <w:t>head of the governing body</w:t>
      </w:r>
      <w:r>
        <w:rPr>
          <w:rFonts w:cs="Calibri"/>
          <w:sz w:val="21"/>
          <w:szCs w:val="21"/>
        </w:rPr>
        <w:t>.  See 401 KAR 49:080, Section 4(6</w:t>
      </w:r>
      <w:proofErr w:type="gramStart"/>
      <w:r>
        <w:rPr>
          <w:rFonts w:cs="Calibri"/>
          <w:sz w:val="21"/>
          <w:szCs w:val="21"/>
        </w:rPr>
        <w:t>)(</w:t>
      </w:r>
      <w:proofErr w:type="gramEnd"/>
      <w:r>
        <w:rPr>
          <w:rFonts w:cs="Calibri"/>
          <w:sz w:val="21"/>
          <w:szCs w:val="21"/>
        </w:rPr>
        <w:t>b)1.</w:t>
      </w:r>
    </w:p>
    <w:p w:rsidR="00B51F71" w:rsidRPr="001033A1" w:rsidRDefault="001033A1" w:rsidP="00FC613E">
      <w:pPr>
        <w:pStyle w:val="ListParagraph"/>
        <w:numPr>
          <w:ilvl w:val="0"/>
          <w:numId w:val="3"/>
        </w:numPr>
        <w:spacing w:after="200" w:line="276" w:lineRule="auto"/>
        <w:rPr>
          <w:rFonts w:cs="Calibri"/>
          <w:sz w:val="21"/>
          <w:szCs w:val="21"/>
        </w:rPr>
      </w:pPr>
      <w:r w:rsidRPr="001033A1">
        <w:rPr>
          <w:rFonts w:cs="Calibri"/>
          <w:b/>
          <w:sz w:val="21"/>
          <w:szCs w:val="21"/>
        </w:rPr>
        <w:t xml:space="preserve">COUNTIES </w:t>
      </w:r>
      <w:r w:rsidR="002F13DB">
        <w:rPr>
          <w:rFonts w:cs="Calibri"/>
          <w:sz w:val="21"/>
          <w:szCs w:val="21"/>
        </w:rPr>
        <w:t>–</w:t>
      </w:r>
      <w:r w:rsidRPr="001033A1">
        <w:rPr>
          <w:rFonts w:cs="Calibri"/>
          <w:sz w:val="21"/>
          <w:szCs w:val="21"/>
        </w:rPr>
        <w:t xml:space="preserve"> </w:t>
      </w:r>
      <w:r w:rsidR="002F13DB">
        <w:rPr>
          <w:rFonts w:cs="Calibri"/>
          <w:sz w:val="21"/>
          <w:szCs w:val="21"/>
        </w:rPr>
        <w:t>A c</w:t>
      </w:r>
      <w:r w:rsidR="00B51F71" w:rsidRPr="001033A1">
        <w:rPr>
          <w:rFonts w:cs="Calibri"/>
          <w:sz w:val="21"/>
          <w:szCs w:val="21"/>
        </w:rPr>
        <w:t>ount</w:t>
      </w:r>
      <w:r w:rsidR="00245A4A">
        <w:rPr>
          <w:rFonts w:cs="Calibri"/>
          <w:sz w:val="21"/>
          <w:szCs w:val="21"/>
        </w:rPr>
        <w:t>y</w:t>
      </w:r>
      <w:r w:rsidR="00B51F71" w:rsidRPr="001033A1">
        <w:rPr>
          <w:rFonts w:cs="Calibri"/>
          <w:sz w:val="21"/>
          <w:szCs w:val="21"/>
        </w:rPr>
        <w:t xml:space="preserve"> </w:t>
      </w:r>
      <w:r w:rsidRPr="001033A1">
        <w:rPr>
          <w:rFonts w:cs="Calibri"/>
          <w:sz w:val="21"/>
          <w:szCs w:val="21"/>
        </w:rPr>
        <w:t xml:space="preserve">will </w:t>
      </w:r>
      <w:r>
        <w:rPr>
          <w:rFonts w:cs="Calibri"/>
          <w:sz w:val="21"/>
          <w:szCs w:val="21"/>
        </w:rPr>
        <w:t xml:space="preserve">submit their expenditures </w:t>
      </w:r>
      <w:r w:rsidR="00B51F71" w:rsidRPr="001033A1">
        <w:rPr>
          <w:rFonts w:cs="Calibri"/>
          <w:sz w:val="21"/>
          <w:szCs w:val="21"/>
        </w:rPr>
        <w:t>to the cabinet by March 1</w:t>
      </w:r>
      <w:r w:rsidR="002F13DB">
        <w:rPr>
          <w:rFonts w:cs="Calibri"/>
          <w:sz w:val="21"/>
          <w:szCs w:val="21"/>
        </w:rPr>
        <w:t xml:space="preserve"> in their annual report (Form DWM 6061)</w:t>
      </w:r>
      <w:r w:rsidR="00B51F71" w:rsidRPr="001033A1">
        <w:rPr>
          <w:rFonts w:cs="Calibri"/>
          <w:sz w:val="21"/>
          <w:szCs w:val="21"/>
        </w:rPr>
        <w:t xml:space="preserve">.  </w:t>
      </w:r>
      <w:r w:rsidR="00245A4A" w:rsidRPr="001033A1">
        <w:rPr>
          <w:rFonts w:cs="Calibri"/>
          <w:sz w:val="21"/>
          <w:szCs w:val="21"/>
        </w:rPr>
        <w:t>See 401 KAR 49:080, Section 3(3).</w:t>
      </w:r>
      <w:r w:rsidR="00245A4A">
        <w:rPr>
          <w:rFonts w:cs="Calibri"/>
          <w:sz w:val="21"/>
          <w:szCs w:val="21"/>
        </w:rPr>
        <w:t xml:space="preserve">  </w:t>
      </w:r>
      <w:r w:rsidR="00B51F71" w:rsidRPr="001033A1">
        <w:rPr>
          <w:rFonts w:cs="Calibri"/>
          <w:sz w:val="21"/>
          <w:szCs w:val="21"/>
        </w:rPr>
        <w:t>See 49:080, Section 4(6</w:t>
      </w:r>
      <w:proofErr w:type="gramStart"/>
      <w:r w:rsidR="00B51F71" w:rsidRPr="001033A1">
        <w:rPr>
          <w:rFonts w:cs="Calibri"/>
          <w:sz w:val="21"/>
          <w:szCs w:val="21"/>
        </w:rPr>
        <w:t>)(</w:t>
      </w:r>
      <w:proofErr w:type="gramEnd"/>
      <w:r w:rsidR="00B51F71" w:rsidRPr="001033A1">
        <w:rPr>
          <w:rFonts w:cs="Calibri"/>
          <w:sz w:val="21"/>
          <w:szCs w:val="21"/>
        </w:rPr>
        <w:t xml:space="preserve">b)2.  The form will be available on our website </w:t>
      </w:r>
      <w:r w:rsidR="00D90668" w:rsidRPr="00D90668">
        <w:rPr>
          <w:rFonts w:cs="Calibri"/>
          <w:b/>
          <w:color w:val="FF0000"/>
          <w:sz w:val="21"/>
          <w:szCs w:val="21"/>
          <w:u w:val="single"/>
        </w:rPr>
        <w:t>https://eec.ky.gov/Environmental-Protection/Waste/recycling-and-local-assistance</w:t>
      </w:r>
      <w:r w:rsidR="00D90668">
        <w:rPr>
          <w:rFonts w:cs="Calibri"/>
          <w:b/>
          <w:sz w:val="21"/>
          <w:szCs w:val="21"/>
          <w:u w:val="single"/>
        </w:rPr>
        <w:t>.</w:t>
      </w:r>
      <w:r w:rsidR="00D90668">
        <w:rPr>
          <w:rFonts w:cs="Calibri"/>
          <w:sz w:val="21"/>
          <w:szCs w:val="21"/>
        </w:rPr>
        <w:t xml:space="preserve">  </w:t>
      </w:r>
      <w:r w:rsidR="002F13DB">
        <w:rPr>
          <w:rFonts w:cs="Calibri"/>
          <w:sz w:val="21"/>
          <w:szCs w:val="21"/>
        </w:rPr>
        <w:t xml:space="preserve">This form must be signed by the </w:t>
      </w:r>
      <w:r w:rsidR="002F13DB">
        <w:rPr>
          <w:rFonts w:cs="Calibri"/>
          <w:b/>
          <w:sz w:val="21"/>
          <w:szCs w:val="21"/>
        </w:rPr>
        <w:t>head of the governing body</w:t>
      </w:r>
      <w:r w:rsidR="002F13DB">
        <w:rPr>
          <w:rFonts w:cs="Calibri"/>
          <w:sz w:val="21"/>
          <w:szCs w:val="21"/>
        </w:rPr>
        <w:t>.  See 401 KAR 49:080, Section 4(6</w:t>
      </w:r>
      <w:proofErr w:type="gramStart"/>
      <w:r w:rsidR="002F13DB">
        <w:rPr>
          <w:rFonts w:cs="Calibri"/>
          <w:sz w:val="21"/>
          <w:szCs w:val="21"/>
        </w:rPr>
        <w:t>)(</w:t>
      </w:r>
      <w:proofErr w:type="gramEnd"/>
      <w:r w:rsidR="002F13DB">
        <w:rPr>
          <w:rFonts w:cs="Calibri"/>
          <w:sz w:val="21"/>
          <w:szCs w:val="21"/>
        </w:rPr>
        <w:t>b)1.</w:t>
      </w:r>
    </w:p>
    <w:p w:rsidR="00B51F71" w:rsidRPr="00D90668" w:rsidRDefault="00B51F71" w:rsidP="00B51F71">
      <w:pPr>
        <w:rPr>
          <w:rFonts w:ascii="Arial" w:hAnsi="Arial" w:cs="Arial"/>
          <w:b/>
          <w:sz w:val="21"/>
          <w:szCs w:val="21"/>
        </w:rPr>
      </w:pPr>
      <w:r w:rsidRPr="00D90668">
        <w:rPr>
          <w:rFonts w:ascii="Arial" w:hAnsi="Arial" w:cs="Arial"/>
          <w:b/>
          <w:sz w:val="21"/>
          <w:szCs w:val="21"/>
        </w:rPr>
        <w:t xml:space="preserve">How long must anti-litter control program grant recipients keep documentation related to grant activities, including grant expenditure documentation?  </w:t>
      </w:r>
    </w:p>
    <w:p w:rsidR="00B51F71" w:rsidRDefault="00B51F71" w:rsidP="00B51F71">
      <w:pPr>
        <w:rPr>
          <w:rFonts w:cs="Calibri"/>
          <w:b/>
          <w:sz w:val="21"/>
          <w:szCs w:val="21"/>
        </w:rPr>
      </w:pPr>
    </w:p>
    <w:p w:rsidR="00B51F71" w:rsidRDefault="001033A1" w:rsidP="00B51F71">
      <w:pPr>
        <w:pStyle w:val="ListParagraph"/>
        <w:numPr>
          <w:ilvl w:val="0"/>
          <w:numId w:val="4"/>
        </w:numPr>
        <w:spacing w:after="200" w:line="276" w:lineRule="auto"/>
        <w:ind w:left="720"/>
        <w:rPr>
          <w:rFonts w:cs="Calibri"/>
          <w:sz w:val="21"/>
          <w:szCs w:val="21"/>
        </w:rPr>
      </w:pPr>
      <w:r>
        <w:rPr>
          <w:rFonts w:cs="Calibri"/>
          <w:sz w:val="21"/>
          <w:szCs w:val="21"/>
        </w:rPr>
        <w:t>Litter abatement</w:t>
      </w:r>
      <w:r w:rsidR="00B51F71">
        <w:rPr>
          <w:rFonts w:cs="Calibri"/>
          <w:sz w:val="21"/>
          <w:szCs w:val="21"/>
        </w:rPr>
        <w:t xml:space="preserve"> program grant recipients shall keep documentation related to grant activities, including grant expenditure documentation, for at least three (3) years.  See 401 KAR 49:080, Section 4(2</w:t>
      </w:r>
      <w:proofErr w:type="gramStart"/>
      <w:r w:rsidR="00B51F71">
        <w:rPr>
          <w:rFonts w:cs="Calibri"/>
          <w:sz w:val="21"/>
          <w:szCs w:val="21"/>
        </w:rPr>
        <w:t>)(</w:t>
      </w:r>
      <w:proofErr w:type="gramEnd"/>
      <w:r w:rsidR="00B51F71">
        <w:rPr>
          <w:rFonts w:cs="Calibri"/>
          <w:sz w:val="21"/>
          <w:szCs w:val="21"/>
        </w:rPr>
        <w:t xml:space="preserve">b).  </w:t>
      </w:r>
    </w:p>
    <w:p w:rsidR="00B51F71" w:rsidRDefault="00B51F71" w:rsidP="00B51F71">
      <w:pPr>
        <w:rPr>
          <w:rFonts w:ascii="Arial" w:hAnsi="Arial" w:cs="Arial"/>
          <w:b/>
          <w:sz w:val="21"/>
          <w:szCs w:val="21"/>
        </w:rPr>
      </w:pPr>
      <w:r w:rsidRPr="00D90668">
        <w:rPr>
          <w:rFonts w:ascii="Arial" w:hAnsi="Arial" w:cs="Arial"/>
          <w:b/>
          <w:sz w:val="21"/>
          <w:szCs w:val="21"/>
        </w:rPr>
        <w:t>What if the grant recipient does not spend all litter grants funding during the calendar year?</w:t>
      </w:r>
    </w:p>
    <w:p w:rsidR="00D90668" w:rsidRPr="00D90668" w:rsidRDefault="00D90668" w:rsidP="00B51F71">
      <w:pPr>
        <w:rPr>
          <w:rFonts w:ascii="Arial" w:hAnsi="Arial" w:cs="Arial"/>
          <w:b/>
          <w:sz w:val="21"/>
          <w:szCs w:val="21"/>
        </w:rPr>
      </w:pPr>
    </w:p>
    <w:p w:rsidR="00B51F71" w:rsidRDefault="001033A1" w:rsidP="00B51F71">
      <w:pPr>
        <w:pStyle w:val="ListParagraph"/>
        <w:numPr>
          <w:ilvl w:val="0"/>
          <w:numId w:val="4"/>
        </w:numPr>
        <w:spacing w:after="200" w:line="276" w:lineRule="auto"/>
        <w:ind w:left="720"/>
        <w:rPr>
          <w:rFonts w:cs="Calibri"/>
          <w:sz w:val="21"/>
          <w:szCs w:val="21"/>
        </w:rPr>
      </w:pPr>
      <w:r>
        <w:rPr>
          <w:rFonts w:cs="Calibri"/>
          <w:sz w:val="21"/>
          <w:szCs w:val="21"/>
        </w:rPr>
        <w:t>Litter abatement</w:t>
      </w:r>
      <w:r w:rsidR="00B51F71">
        <w:rPr>
          <w:rFonts w:cs="Calibri"/>
          <w:sz w:val="21"/>
          <w:szCs w:val="21"/>
        </w:rPr>
        <w:t xml:space="preserve"> program grant funding not spent in the calendar year it is received shall be returned to the cabinet by April 15 of the following year.  See 401 KAR 49:080, Section 4(8).</w:t>
      </w:r>
    </w:p>
    <w:p w:rsidR="00B51F71" w:rsidRPr="00D90668" w:rsidRDefault="00B51F71" w:rsidP="00B51F71">
      <w:pPr>
        <w:rPr>
          <w:rFonts w:ascii="Arial" w:hAnsi="Arial" w:cs="Arial"/>
          <w:sz w:val="21"/>
          <w:szCs w:val="21"/>
        </w:rPr>
      </w:pPr>
      <w:r w:rsidRPr="00D90668">
        <w:rPr>
          <w:rFonts w:ascii="Arial" w:hAnsi="Arial" w:cs="Arial"/>
          <w:b/>
          <w:sz w:val="21"/>
          <w:szCs w:val="21"/>
        </w:rPr>
        <w:t>Where can I find 401 KAR 49:080?</w:t>
      </w:r>
      <w:r w:rsidRPr="00D90668">
        <w:rPr>
          <w:rFonts w:ascii="Arial" w:hAnsi="Arial" w:cs="Arial"/>
          <w:sz w:val="21"/>
          <w:szCs w:val="21"/>
        </w:rPr>
        <w:t xml:space="preserve">  </w:t>
      </w:r>
    </w:p>
    <w:p w:rsidR="00B51F71" w:rsidRPr="00D90668" w:rsidRDefault="00B51F71" w:rsidP="00B51F71">
      <w:pPr>
        <w:rPr>
          <w:rFonts w:ascii="Arial" w:hAnsi="Arial" w:cs="Arial"/>
          <w:sz w:val="21"/>
          <w:szCs w:val="21"/>
        </w:rPr>
      </w:pPr>
    </w:p>
    <w:p w:rsidR="00CF6B9B" w:rsidRDefault="00B51F71" w:rsidP="00002C96">
      <w:pPr>
        <w:pStyle w:val="ListParagraph"/>
        <w:numPr>
          <w:ilvl w:val="0"/>
          <w:numId w:val="4"/>
        </w:numPr>
        <w:spacing w:after="200" w:line="276" w:lineRule="auto"/>
      </w:pPr>
      <w:r w:rsidRPr="00B51F71">
        <w:rPr>
          <w:rFonts w:cs="Calibri"/>
          <w:sz w:val="21"/>
          <w:szCs w:val="21"/>
        </w:rPr>
        <w:t xml:space="preserve">By clicking </w:t>
      </w:r>
      <w:hyperlink r:id="rId5" w:history="1">
        <w:r w:rsidRPr="00B51F71">
          <w:rPr>
            <w:rStyle w:val="Hyperlink"/>
            <w:rFonts w:cs="Calibri"/>
            <w:i/>
            <w:sz w:val="21"/>
            <w:szCs w:val="21"/>
          </w:rPr>
          <w:t>here</w:t>
        </w:r>
      </w:hyperlink>
      <w:r w:rsidRPr="00B51F71">
        <w:rPr>
          <w:rFonts w:cs="Calibri"/>
          <w:i/>
          <w:sz w:val="21"/>
          <w:szCs w:val="21"/>
        </w:rPr>
        <w:t xml:space="preserve"> </w:t>
      </w:r>
      <w:r w:rsidRPr="00B51F71">
        <w:rPr>
          <w:rFonts w:cs="Calibri"/>
          <w:sz w:val="21"/>
          <w:szCs w:val="21"/>
        </w:rPr>
        <w:t xml:space="preserve">or going to </w:t>
      </w:r>
      <w:r w:rsidRPr="00B51F71">
        <w:rPr>
          <w:rFonts w:cs="Calibri"/>
          <w:sz w:val="21"/>
          <w:szCs w:val="21"/>
          <w:u w:val="single"/>
        </w:rPr>
        <w:t>http://www.lrc.ky.gov/kar/401/049/</w:t>
      </w:r>
      <w:proofErr w:type="gramStart"/>
      <w:r w:rsidRPr="00B51F71">
        <w:rPr>
          <w:rFonts w:cs="Calibri"/>
          <w:sz w:val="21"/>
          <w:szCs w:val="21"/>
          <w:u w:val="single"/>
        </w:rPr>
        <w:t>080reg.htm</w:t>
      </w:r>
      <w:r w:rsidRPr="00B51F71">
        <w:rPr>
          <w:rFonts w:cs="Calibri"/>
          <w:i/>
          <w:sz w:val="21"/>
          <w:szCs w:val="21"/>
        </w:rPr>
        <w:t xml:space="preserve"> </w:t>
      </w:r>
      <w:r w:rsidRPr="00B51F71">
        <w:rPr>
          <w:rFonts w:cs="Calibri"/>
          <w:sz w:val="21"/>
          <w:szCs w:val="21"/>
        </w:rPr>
        <w:t>.</w:t>
      </w:r>
      <w:proofErr w:type="gramEnd"/>
      <w:r w:rsidRPr="00B51F71">
        <w:rPr>
          <w:rFonts w:cs="Calibri"/>
          <w:sz w:val="21"/>
          <w:szCs w:val="21"/>
        </w:rPr>
        <w:t xml:space="preserve">    </w:t>
      </w:r>
    </w:p>
    <w:sectPr w:rsidR="00CF6B9B" w:rsidSect="00D906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60C"/>
    <w:multiLevelType w:val="hybridMultilevel"/>
    <w:tmpl w:val="87F2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3F0C51"/>
    <w:multiLevelType w:val="hybridMultilevel"/>
    <w:tmpl w:val="80E448E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6A087868"/>
    <w:multiLevelType w:val="hybridMultilevel"/>
    <w:tmpl w:val="EEE0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FF63E8"/>
    <w:multiLevelType w:val="hybridMultilevel"/>
    <w:tmpl w:val="3982B54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1"/>
    <w:rsid w:val="001033A1"/>
    <w:rsid w:val="00245A4A"/>
    <w:rsid w:val="002F13DB"/>
    <w:rsid w:val="00B51F71"/>
    <w:rsid w:val="00CF6B9B"/>
    <w:rsid w:val="00D9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EED8-91F2-41DB-9738-AB491C1B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F71"/>
    <w:rPr>
      <w:color w:val="0000FF"/>
      <w:u w:val="single"/>
    </w:rPr>
  </w:style>
  <w:style w:type="paragraph" w:styleId="ListParagraph">
    <w:name w:val="List Paragraph"/>
    <w:basedOn w:val="Normal"/>
    <w:uiPriority w:val="34"/>
    <w:qFormat/>
    <w:rsid w:val="00B51F71"/>
    <w:pPr>
      <w:ind w:left="720"/>
    </w:pPr>
    <w:rPr>
      <w:rFonts w:ascii="Arial" w:hAnsi="Arial"/>
    </w:rPr>
  </w:style>
  <w:style w:type="paragraph" w:customStyle="1" w:styleId="Default">
    <w:name w:val="Default"/>
    <w:rsid w:val="00B51F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rc.ky.gov/kar/401/049/080re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Lisa (EEC)</dc:creator>
  <cp:keywords/>
  <dc:description/>
  <cp:lastModifiedBy>Evans, Lisa (EEC)</cp:lastModifiedBy>
  <cp:revision>3</cp:revision>
  <dcterms:created xsi:type="dcterms:W3CDTF">2018-07-27T18:54:00Z</dcterms:created>
  <dcterms:modified xsi:type="dcterms:W3CDTF">2019-07-18T20:59:00Z</dcterms:modified>
</cp:coreProperties>
</file>